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D8" w:rsidRDefault="002F20F1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820ED8" w:rsidRDefault="002F20F1">
      <w:pPr>
        <w:pStyle w:val="a8"/>
      </w:pPr>
      <w:r>
        <w:rPr>
          <w:sz w:val="32"/>
        </w:rPr>
        <w:t xml:space="preserve">ОТДЕЛЕНИЯ ФОНДА ПЕНСИОННОГО </w:t>
      </w:r>
    </w:p>
    <w:p w:rsidR="00820ED8" w:rsidRDefault="002F20F1">
      <w:pPr>
        <w:pStyle w:val="a8"/>
      </w:pPr>
      <w:r>
        <w:rPr>
          <w:sz w:val="32"/>
        </w:rPr>
        <w:t xml:space="preserve">И СОЦИАЛЬНОГО СТРАХОВАНИЯ </w:t>
      </w:r>
    </w:p>
    <w:p w:rsidR="00820ED8" w:rsidRDefault="002F20F1">
      <w:pPr>
        <w:pStyle w:val="a8"/>
      </w:pPr>
      <w:r>
        <w:rPr>
          <w:sz w:val="32"/>
        </w:rPr>
        <w:t>РОССИЙСКОЙ ФЕДЕРАЦИИ</w:t>
      </w:r>
    </w:p>
    <w:p w:rsidR="00820ED8" w:rsidRDefault="002F20F1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820ED8" w:rsidRDefault="00820ED8">
      <w:pPr>
        <w:pStyle w:val="a8"/>
        <w:ind w:left="142"/>
        <w:outlineLvl w:val="0"/>
        <w:rPr>
          <w:sz w:val="32"/>
        </w:rPr>
      </w:pPr>
    </w:p>
    <w:p w:rsidR="00820ED8" w:rsidRDefault="002F20F1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820ED8" w:rsidRDefault="00820ED8">
      <w:pPr>
        <w:pStyle w:val="ac"/>
        <w:ind w:left="1620"/>
        <w:jc w:val="center"/>
        <w:rPr>
          <w:b/>
          <w:bCs/>
          <w:sz w:val="28"/>
        </w:rPr>
      </w:pPr>
    </w:p>
    <w:p w:rsidR="00820ED8" w:rsidRDefault="002F20F1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F51A7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820ED8" w:rsidRDefault="00820ED8">
      <w:pPr>
        <w:pStyle w:val="ac"/>
        <w:jc w:val="left"/>
        <w:rPr>
          <w:b/>
          <w:bCs/>
        </w:rPr>
      </w:pPr>
    </w:p>
    <w:p w:rsidR="00820ED8" w:rsidRDefault="002F20F1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820ED8" w:rsidRDefault="00820ED8">
      <w:pPr>
        <w:jc w:val="center"/>
        <w:rPr>
          <w:rFonts w:ascii="Times New Roman" w:hAnsi="Times New Roman"/>
          <w:b/>
          <w:bCs/>
        </w:rPr>
      </w:pPr>
    </w:p>
    <w:p w:rsidR="00820ED8" w:rsidRDefault="002F20F1">
      <w:pPr>
        <w:spacing w:line="240" w:lineRule="auto"/>
        <w:jc w:val="center"/>
      </w:pPr>
      <w:r>
        <w:rPr>
          <w:rStyle w:val="a7"/>
          <w:rFonts w:ascii="Times New Roman" w:hAnsi="Times New Roman"/>
          <w:sz w:val="30"/>
          <w:szCs w:val="30"/>
        </w:rPr>
        <w:t xml:space="preserve">Пенсии работающих </w:t>
      </w:r>
      <w:proofErr w:type="spellStart"/>
      <w:r>
        <w:rPr>
          <w:rStyle w:val="a7"/>
          <w:rFonts w:ascii="Times New Roman" w:hAnsi="Times New Roman"/>
          <w:sz w:val="30"/>
          <w:szCs w:val="30"/>
        </w:rPr>
        <w:t>волгоградцев</w:t>
      </w:r>
      <w:proofErr w:type="spellEnd"/>
      <w:r>
        <w:rPr>
          <w:rStyle w:val="a7"/>
          <w:rFonts w:ascii="Times New Roman" w:hAnsi="Times New Roman"/>
          <w:sz w:val="30"/>
          <w:szCs w:val="30"/>
        </w:rPr>
        <w:t xml:space="preserve"> начнут индексироваться с 2025 года</w:t>
      </w:r>
    </w:p>
    <w:p w:rsidR="00820ED8" w:rsidRDefault="002F20F1">
      <w:pPr>
        <w:spacing w:line="240" w:lineRule="auto"/>
        <w:jc w:val="both"/>
      </w:pPr>
      <w:r>
        <w:rPr>
          <w:rStyle w:val="a7"/>
          <w:rFonts w:ascii="Times New Roman" w:hAnsi="Times New Roman"/>
          <w:sz w:val="26"/>
          <w:szCs w:val="26"/>
        </w:rPr>
        <w:t>Со следующего года вступают в силу поправки в федеральный закон о страховых пенсиях, согласно которым пенсии работающих пенсионеров б</w:t>
      </w:r>
      <w:r>
        <w:rPr>
          <w:rStyle w:val="a7"/>
          <w:rFonts w:ascii="Times New Roman" w:hAnsi="Times New Roman"/>
          <w:sz w:val="26"/>
          <w:szCs w:val="26"/>
        </w:rPr>
        <w:t>удут повышаться так же, как и неработающих. С 1 февраля 2025 года Отделение Социального фонда России по Волгоградской области возобновит индексацию выплат тем пенсионерам, которые продолжают трудовую деятельность.</w:t>
      </w:r>
    </w:p>
    <w:p w:rsidR="00820ED8" w:rsidRDefault="002F20F1">
      <w:pPr>
        <w:spacing w:line="240" w:lineRule="auto"/>
        <w:jc w:val="both"/>
      </w:pPr>
      <w:r>
        <w:rPr>
          <w:rStyle w:val="a7"/>
          <w:rFonts w:ascii="Times New Roman" w:hAnsi="Times New Roman"/>
          <w:b w:val="0"/>
          <w:sz w:val="26"/>
          <w:szCs w:val="26"/>
        </w:rPr>
        <w:t>С 2016 года индексация пенсий работающим п</w:t>
      </w:r>
      <w:r>
        <w:rPr>
          <w:rStyle w:val="a7"/>
          <w:rFonts w:ascii="Times New Roman" w:hAnsi="Times New Roman"/>
          <w:b w:val="0"/>
          <w:sz w:val="26"/>
          <w:szCs w:val="26"/>
        </w:rPr>
        <w:t xml:space="preserve">енсионерам была приостановлена. В настоящее время все проведенные </w:t>
      </w:r>
      <w:r>
        <w:rPr>
          <w:rFonts w:ascii="Times New Roman" w:hAnsi="Times New Roman"/>
          <w:sz w:val="26"/>
          <w:szCs w:val="26"/>
        </w:rPr>
        <w:t>повышения учитываются на лицевых счетах пенсионеров, и после увольнения они получают выплаты с индексациями, которые были за время работы.</w:t>
      </w:r>
    </w:p>
    <w:p w:rsidR="00820ED8" w:rsidRDefault="002F20F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2025 года, руководствуясь принятыми изменениями, </w:t>
      </w:r>
      <w:r>
        <w:rPr>
          <w:rFonts w:ascii="Times New Roman" w:hAnsi="Times New Roman"/>
          <w:sz w:val="26"/>
          <w:szCs w:val="26"/>
        </w:rPr>
        <w:t xml:space="preserve">все виды страховых пенсий, в том числе пенсии по инвалидности и по потере кормильца, будут индексироваться вне зависимости от выполнения трудовой деятельности. Это позволит обеспечить более высокую прибавку к выплатам. Теперь индексацию будут применять не </w:t>
      </w:r>
      <w:r>
        <w:rPr>
          <w:rFonts w:ascii="Times New Roman" w:hAnsi="Times New Roman"/>
          <w:sz w:val="26"/>
          <w:szCs w:val="26"/>
        </w:rPr>
        <w:t>к выплачиваемой пенсии, а к её более высокому размеру, включающему те индексации, которые были пропущены.</w:t>
      </w:r>
    </w:p>
    <w:p w:rsidR="00820ED8" w:rsidRDefault="002F20F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«Приведу пример: вы уже являетесь пенсионером, но продолжаете работать. При этом ваша пенсия составляет 18 тысяч рублей. Учитывая пропущенные индексац</w:t>
      </w:r>
      <w:r>
        <w:rPr>
          <w:rFonts w:ascii="Times New Roman" w:hAnsi="Times New Roman"/>
          <w:i/>
          <w:sz w:val="26"/>
          <w:szCs w:val="26"/>
        </w:rPr>
        <w:t>ии за три предыдущих года работы, пенсия составляет 24 тысячи рублей. Этот, более высокий размер закреплён на вашем лицевом счёте, и индексация будет считаться именно по этому размеру. При этом повышение установят к фактически получаемой пенсии в размере 1</w:t>
      </w:r>
      <w:r>
        <w:rPr>
          <w:rFonts w:ascii="Times New Roman" w:hAnsi="Times New Roman"/>
          <w:i/>
          <w:sz w:val="26"/>
          <w:szCs w:val="26"/>
        </w:rPr>
        <w:t>8 тысяч рублей. Если вы уволитесь, то ваша пенсия вслед за прибавкой по индексации будет увеличена дополнительно, учитывая пропущенные повышения»,</w:t>
      </w:r>
      <w:r>
        <w:rPr>
          <w:rFonts w:ascii="Times New Roman" w:hAnsi="Times New Roman"/>
          <w:sz w:val="26"/>
          <w:szCs w:val="26"/>
        </w:rPr>
        <w:t xml:space="preserve"> — пояснил управляющий Отделением СФР по Волгоградской области </w:t>
      </w:r>
      <w:r>
        <w:rPr>
          <w:rFonts w:ascii="Times New Roman" w:hAnsi="Times New Roman"/>
          <w:b/>
          <w:sz w:val="26"/>
          <w:szCs w:val="26"/>
        </w:rPr>
        <w:t>Владимир Федоров.</w:t>
      </w:r>
    </w:p>
    <w:p w:rsidR="00820ED8" w:rsidRDefault="002F20F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Работающим пенсионерам регион</w:t>
      </w:r>
      <w:r>
        <w:rPr>
          <w:rFonts w:ascii="Times New Roman" w:hAnsi="Times New Roman"/>
          <w:sz w:val="26"/>
          <w:szCs w:val="26"/>
        </w:rPr>
        <w:t>а в связи с предстоящей индексацией никуда обращаться не нужно: Отделение Социального фонда России по Волгоградской области проводит все плановые индексации автоматически.</w:t>
      </w:r>
    </w:p>
    <w:p w:rsidR="00820ED8" w:rsidRDefault="002F20F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вас остались вопросы, вы всегда можете посетить клиентскую службу или обратит</w:t>
      </w:r>
      <w:r>
        <w:rPr>
          <w:rFonts w:ascii="Times New Roman" w:hAnsi="Times New Roman" w:cs="Times New Roman"/>
          <w:sz w:val="26"/>
          <w:szCs w:val="26"/>
        </w:rPr>
        <w:t>ься к специалистам единого контакт-центра: 8-800-100-00-01.</w:t>
      </w:r>
    </w:p>
    <w:sectPr w:rsidR="00820ED8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D8"/>
    <w:rsid w:val="002F20F1"/>
    <w:rsid w:val="008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634CD-B06C-4C07-868C-C16E0F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Strong"/>
    <w:basedOn w:val="a1"/>
    <w:qFormat/>
    <w:rPr>
      <w:b/>
      <w:bCs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2024-08-15T17:24:00Z</dcterms:created>
  <dcterms:modified xsi:type="dcterms:W3CDTF">2024-08-15T17:24:00Z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