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6" w:rsidRDefault="00E10766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10766" w:rsidRDefault="00B9793D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766" w:rsidRDefault="00B9793D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10766" w:rsidRDefault="00B9793D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10766" w:rsidRDefault="00B9793D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10766" w:rsidRDefault="00E10766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10766" w:rsidRDefault="00B9793D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10766" w:rsidRDefault="00B9793D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10766" w:rsidRPr="00B9793D" w:rsidRDefault="00E10766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0766" w:rsidRDefault="00B9793D">
      <w:pPr>
        <w:jc w:val="center"/>
        <w:rPr>
          <w:rFonts w:hint="eastAsia"/>
          <w:b/>
          <w:bCs/>
          <w:color w:val="006699"/>
          <w:sz w:val="30"/>
          <w:szCs w:val="30"/>
        </w:rPr>
      </w:pPr>
      <w:r>
        <w:rPr>
          <w:b/>
          <w:bCs/>
          <w:color w:val="006699"/>
          <w:sz w:val="30"/>
          <w:szCs w:val="30"/>
        </w:rPr>
        <w:t xml:space="preserve">Более 90% обращений за услугами Пенсионного фонда </w:t>
      </w:r>
    </w:p>
    <w:p w:rsidR="00E10766" w:rsidRDefault="00B9793D">
      <w:pPr>
        <w:jc w:val="center"/>
        <w:rPr>
          <w:rFonts w:hint="eastAsia"/>
          <w:b/>
          <w:bCs/>
          <w:color w:val="006699"/>
          <w:sz w:val="30"/>
          <w:szCs w:val="30"/>
        </w:rPr>
      </w:pPr>
      <w:r>
        <w:rPr>
          <w:b/>
          <w:bCs/>
          <w:color w:val="006699"/>
          <w:sz w:val="30"/>
          <w:szCs w:val="30"/>
        </w:rPr>
        <w:t xml:space="preserve">поступили от </w:t>
      </w:r>
      <w:proofErr w:type="spellStart"/>
      <w:r>
        <w:rPr>
          <w:b/>
          <w:bCs/>
          <w:color w:val="006699"/>
          <w:sz w:val="30"/>
          <w:szCs w:val="30"/>
        </w:rPr>
        <w:t>волгоградцев</w:t>
      </w:r>
      <w:proofErr w:type="spellEnd"/>
      <w:r>
        <w:rPr>
          <w:b/>
          <w:bCs/>
          <w:color w:val="006699"/>
          <w:sz w:val="30"/>
          <w:szCs w:val="30"/>
        </w:rPr>
        <w:t xml:space="preserve"> в электронном виде</w:t>
      </w:r>
    </w:p>
    <w:p w:rsidR="00E10766" w:rsidRDefault="00E10766">
      <w:pPr>
        <w:jc w:val="both"/>
        <w:rPr>
          <w:rFonts w:hint="eastAsia"/>
          <w:sz w:val="28"/>
          <w:szCs w:val="28"/>
        </w:rPr>
      </w:pPr>
    </w:p>
    <w:p w:rsidR="00E10766" w:rsidRDefault="00B9793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первом квартале этого года 92% всех обращений в ОПФР по Волгоградской области поступили в электронном виде – через личный кабинет на сайте ПФР или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E10766" w:rsidRDefault="00B9793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Так, почти 100% заявлений </w:t>
      </w:r>
      <w:r>
        <w:rPr>
          <w:b/>
          <w:bCs/>
          <w:sz w:val="28"/>
          <w:szCs w:val="28"/>
        </w:rPr>
        <w:t>о назначении пенсии</w:t>
      </w:r>
      <w:r>
        <w:rPr>
          <w:sz w:val="28"/>
          <w:szCs w:val="28"/>
        </w:rPr>
        <w:t xml:space="preserve"> поданы онлайн. При этом в большинстве с</w:t>
      </w:r>
      <w:r>
        <w:rPr>
          <w:sz w:val="28"/>
          <w:szCs w:val="28"/>
        </w:rPr>
        <w:t>лучаев выплаты с согласия человека были назначены также дистанционно на основе данных из информационной системы Пенсионного фонда.</w:t>
      </w:r>
    </w:p>
    <w:p w:rsidR="00E10766" w:rsidRDefault="00B9793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Кроме того, через личный кабинет можно заказать </w:t>
      </w:r>
      <w:r>
        <w:rPr>
          <w:b/>
          <w:bCs/>
          <w:sz w:val="28"/>
          <w:szCs w:val="28"/>
        </w:rPr>
        <w:t>электронные справки</w:t>
      </w:r>
      <w:r>
        <w:rPr>
          <w:sz w:val="28"/>
          <w:szCs w:val="28"/>
        </w:rPr>
        <w:t>, чтобы направить их в другие организации. В кабинете дос</w:t>
      </w:r>
      <w:r>
        <w:rPr>
          <w:sz w:val="28"/>
          <w:szCs w:val="28"/>
        </w:rPr>
        <w:t>тупна информация о пенсионных коэффициентах, стаже и отчислениях работодателей на пенсию. 90% запросов граждан на получение такой информации поступили в электронном виде.</w:t>
      </w:r>
    </w:p>
    <w:p w:rsidR="00E10766" w:rsidRDefault="00B9793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Пенсионный фонд принял 98% электронных обращений за ежемесячным </w:t>
      </w:r>
      <w:r>
        <w:rPr>
          <w:b/>
          <w:bCs/>
          <w:sz w:val="28"/>
          <w:szCs w:val="28"/>
        </w:rPr>
        <w:t>пособием одиноким ро</w:t>
      </w:r>
      <w:r>
        <w:rPr>
          <w:b/>
          <w:bCs/>
          <w:sz w:val="28"/>
          <w:szCs w:val="28"/>
        </w:rPr>
        <w:t>дителям</w:t>
      </w:r>
      <w:r>
        <w:rPr>
          <w:sz w:val="28"/>
          <w:szCs w:val="28"/>
        </w:rPr>
        <w:t xml:space="preserve"> детей от 8 до17 лет и 95% обращений за пособием </w:t>
      </w:r>
      <w:r>
        <w:rPr>
          <w:b/>
          <w:bCs/>
          <w:sz w:val="28"/>
          <w:szCs w:val="28"/>
        </w:rPr>
        <w:t>женщинам, вставшим на учёт по беременности</w:t>
      </w:r>
      <w:r>
        <w:rPr>
          <w:sz w:val="28"/>
          <w:szCs w:val="28"/>
        </w:rPr>
        <w:t xml:space="preserve"> в ранние сроки.</w:t>
      </w:r>
    </w:p>
    <w:p w:rsidR="00E10766" w:rsidRDefault="00B9793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Для семей, получивших сертификат на материнский капитал в личном кабинете всегда доступна актуальная информация о сумме, которую можно испол</w:t>
      </w:r>
      <w:r>
        <w:rPr>
          <w:sz w:val="28"/>
          <w:szCs w:val="28"/>
        </w:rPr>
        <w:t xml:space="preserve">ьзовать на выбранные цели. Практически все владельцы сертификата проверяют эти данные онлайн, не обращаясь в территориальное отделение фонда. 97,5% семей таким же способом подают заявление </w:t>
      </w:r>
      <w:r>
        <w:rPr>
          <w:b/>
          <w:bCs/>
          <w:sz w:val="28"/>
          <w:szCs w:val="28"/>
        </w:rPr>
        <w:t>о распоряжении материнским капиталом</w:t>
      </w:r>
      <w:r>
        <w:rPr>
          <w:sz w:val="28"/>
          <w:szCs w:val="28"/>
        </w:rPr>
        <w:t>.</w:t>
      </w:r>
    </w:p>
    <w:p w:rsidR="00E10766" w:rsidRDefault="00B9793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Помимо этого, в личном кабин</w:t>
      </w:r>
      <w:r>
        <w:rPr>
          <w:sz w:val="28"/>
          <w:szCs w:val="28"/>
        </w:rPr>
        <w:t xml:space="preserve">ете есть возможность оформить выплаты </w:t>
      </w:r>
      <w:r>
        <w:rPr>
          <w:b/>
          <w:bCs/>
          <w:sz w:val="28"/>
          <w:szCs w:val="28"/>
        </w:rPr>
        <w:t>по уходу за нетрудоспособными людьми</w:t>
      </w:r>
      <w:r>
        <w:rPr>
          <w:sz w:val="28"/>
          <w:szCs w:val="28"/>
        </w:rPr>
        <w:t xml:space="preserve">. Доля электронных обращений по этой услуге в первом квартале составила 100%. Пенсионный фонд также принял 100% электронных заявлений на оформление выплаты </w:t>
      </w:r>
      <w:r>
        <w:rPr>
          <w:b/>
          <w:bCs/>
          <w:sz w:val="28"/>
          <w:szCs w:val="28"/>
        </w:rPr>
        <w:t>по уходу за детьми-инвалид</w:t>
      </w:r>
      <w:r>
        <w:rPr>
          <w:b/>
          <w:bCs/>
          <w:sz w:val="28"/>
          <w:szCs w:val="28"/>
        </w:rPr>
        <w:t>ами и инвалидами с детства первой группы</w:t>
      </w:r>
      <w:r>
        <w:rPr>
          <w:sz w:val="28"/>
          <w:szCs w:val="28"/>
        </w:rPr>
        <w:t>.</w:t>
      </w:r>
    </w:p>
    <w:p w:rsidR="00E10766" w:rsidRDefault="00B9793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Личный кабинет открывает возможность быстрого и удобного обращения в ПФР без очередей и ожидания. Для полного доступа к услугам необходима подтверждённая учётная запись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 Зарегистрироваться и по</w:t>
      </w:r>
      <w:r>
        <w:rPr>
          <w:sz w:val="28"/>
          <w:szCs w:val="28"/>
        </w:rPr>
        <w:t>лучить её можно в большинстве клиентских служб Пенсионного фонда.</w:t>
      </w:r>
    </w:p>
    <w:p w:rsidR="00E10766" w:rsidRDefault="00E10766">
      <w:pPr>
        <w:jc w:val="both"/>
        <w:rPr>
          <w:rFonts w:hint="eastAsia"/>
          <w:sz w:val="28"/>
          <w:szCs w:val="28"/>
        </w:rPr>
      </w:pPr>
    </w:p>
    <w:p w:rsidR="00E10766" w:rsidRDefault="00E10766">
      <w:pPr>
        <w:jc w:val="both"/>
        <w:rPr>
          <w:rFonts w:hint="eastAsia"/>
          <w:sz w:val="28"/>
          <w:szCs w:val="28"/>
        </w:rPr>
      </w:pPr>
    </w:p>
    <w:p w:rsidR="00E10766" w:rsidRDefault="00E10766">
      <w:pPr>
        <w:jc w:val="both"/>
        <w:rPr>
          <w:rFonts w:hint="eastAsia"/>
          <w:sz w:val="28"/>
          <w:szCs w:val="28"/>
        </w:rPr>
      </w:pPr>
    </w:p>
    <w:p w:rsidR="00E10766" w:rsidRDefault="00E10766">
      <w:pPr>
        <w:jc w:val="both"/>
        <w:rPr>
          <w:rFonts w:hint="eastAsia"/>
          <w:sz w:val="28"/>
          <w:szCs w:val="28"/>
        </w:rPr>
      </w:pPr>
    </w:p>
    <w:sectPr w:rsidR="00E1076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66"/>
    <w:rsid w:val="00B9793D"/>
    <w:rsid w:val="00E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2022-04-29T18:12:00Z</dcterms:created>
  <dcterms:modified xsi:type="dcterms:W3CDTF">2022-04-29T18:12:00Z</dcterms:modified>
  <dc:language>ru-RU</dc:language>
</cp:coreProperties>
</file>